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428625" cy="533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28625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ВСЕВОЛОЖСКОГО МУНИЦИПАЛЬНОГО ОБРАЗОВАНИЯ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№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_____</w:t>
      </w:r>
    </w:p>
    <w:p w14:paraId="0E000000">
      <w:pPr>
        <w:rPr>
          <w:sz w:val="20"/>
        </w:rPr>
      </w:pPr>
      <w:r>
        <w:rPr>
          <w:sz w:val="20"/>
        </w:rPr>
        <w:t>г. Сертолово</w:t>
      </w:r>
    </w:p>
    <w:p w14:paraId="0F000000"/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администрации МО Сертолово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от 24.10.2019 №917 «Об утверждении 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муниципальной программы МО Сертолово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>«Развитие малого и среднего предпринимательства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 xml:space="preserve"> в МО  Сертолово» на 2020-2024 годы</w:t>
      </w:r>
    </w:p>
    <w:p w14:paraId="16000000">
      <w:pPr>
        <w:ind/>
        <w:jc w:val="both"/>
        <w:rPr>
          <w:b w:val="1"/>
          <w:sz w:val="28"/>
        </w:rPr>
      </w:pPr>
    </w:p>
    <w:p w14:paraId="17000000">
      <w:pPr>
        <w:ind w:firstLine="709" w:left="0"/>
        <w:jc w:val="both"/>
      </w:pPr>
      <w:r>
        <w:t xml:space="preserve"> </w:t>
      </w:r>
    </w:p>
    <w:p w14:paraId="1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Устава МО Сертолово, постановления администрации МО Сертолово от 27.06.2011 г. №33 «Об утверждении Положения об администрации муниципального образования Сертолово Всеволожского муниципального района Ленинградской области», </w:t>
      </w:r>
      <w:r>
        <w:rPr>
          <w:rFonts w:ascii="Times New Roman" w:hAnsi="Times New Roman"/>
          <w:sz w:val="28"/>
        </w:rPr>
        <w:t xml:space="preserve">в соответствии с п.5.7.1. Порядка, утвержденного постановлением администрации МО Сертолово от 22.10.2013 г. №425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 </w:t>
      </w:r>
      <w:r>
        <w:rPr>
          <w:rFonts w:ascii="Times New Roman" w:hAnsi="Times New Roman"/>
          <w:sz w:val="28"/>
        </w:rPr>
        <w:t xml:space="preserve">в целях развития малого и среднего предпринимательства на территории МО Сертолово, администрация МО Сертолово  </w:t>
      </w:r>
    </w:p>
    <w:p w14:paraId="19000000">
      <w:pPr>
        <w:ind/>
        <w:jc w:val="both"/>
      </w:pPr>
    </w:p>
    <w:p w14:paraId="1A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B000000">
      <w:pPr>
        <w:ind/>
        <w:jc w:val="both"/>
        <w:rPr>
          <w:sz w:val="28"/>
        </w:rPr>
      </w:pPr>
    </w:p>
    <w:p w14:paraId="1C000000">
      <w:pPr>
        <w:pStyle w:val="Style_3"/>
        <w:numPr>
          <w:ilvl w:val="0"/>
          <w:numId w:val="1"/>
        </w:numPr>
        <w:ind w:firstLine="0" w:left="426"/>
        <w:jc w:val="both"/>
        <w:rPr>
          <w:sz w:val="28"/>
        </w:rPr>
      </w:pPr>
      <w:r>
        <w:rPr>
          <w:sz w:val="28"/>
        </w:rPr>
        <w:t>Внести в постановление администрации МО Сертолово от 24.10</w:t>
      </w:r>
      <w:r>
        <w:rPr>
          <w:sz w:val="28"/>
        </w:rPr>
        <w:t xml:space="preserve">.2019г. №917 </w:t>
      </w:r>
      <w:bookmarkStart w:id="1" w:name="_Hlk184208951"/>
      <w:r>
        <w:rPr>
          <w:sz w:val="28"/>
        </w:rPr>
        <w:t xml:space="preserve">«Об утверждении муниципальной программы МО Сертолово» на 2020-2024 годы </w:t>
      </w:r>
      <w:bookmarkEnd w:id="1"/>
      <w:r>
        <w:rPr>
          <w:sz w:val="28"/>
        </w:rPr>
        <w:t>следующие изменения:</w:t>
      </w:r>
    </w:p>
    <w:p w14:paraId="1D000000">
      <w:pPr>
        <w:pStyle w:val="Style_3"/>
        <w:numPr>
          <w:ilvl w:val="1"/>
          <w:numId w:val="2"/>
        </w:numPr>
        <w:ind w:firstLine="0" w:left="142"/>
        <w:jc w:val="both"/>
        <w:rPr>
          <w:sz w:val="28"/>
        </w:rPr>
      </w:pPr>
      <w:r>
        <w:rPr>
          <w:sz w:val="28"/>
        </w:rPr>
        <w:t xml:space="preserve">Пункт 3 постановления изложить </w:t>
      </w:r>
      <w:r>
        <w:rPr>
          <w:sz w:val="28"/>
        </w:rPr>
        <w:t>в следующей редакции:</w:t>
      </w:r>
      <w:r>
        <w:rPr>
          <w:sz w:val="28"/>
        </w:rPr>
        <w:t xml:space="preserve"> «3. Контроль за исполнением настоящего постановления возложить на начальника отдела административного обеспечения и информатизации администрации МО Сертолово - Юшкову Я.П.»</w:t>
      </w:r>
    </w:p>
    <w:p w14:paraId="1E000000">
      <w:pPr>
        <w:pStyle w:val="Style_3"/>
        <w:ind w:firstLine="0" w:left="142"/>
        <w:jc w:val="both"/>
        <w:rPr>
          <w:sz w:val="28"/>
        </w:rPr>
      </w:pPr>
      <w:r>
        <w:rPr>
          <w:sz w:val="28"/>
        </w:rPr>
        <w:t>2. Внести следующие изменения в м</w:t>
      </w:r>
      <w:r>
        <w:rPr>
          <w:sz w:val="28"/>
        </w:rPr>
        <w:t xml:space="preserve">униципальную программу, утвержденную постановлением администрации МО Сертолово от 24.10.2024г. №917 </w:t>
      </w:r>
      <w:r>
        <w:rPr>
          <w:sz w:val="28"/>
        </w:rPr>
        <w:t>«Об утверждении муниципальной программы МО Сертолово» на 2020-2024 годы</w:t>
      </w:r>
      <w:r>
        <w:rPr>
          <w:sz w:val="28"/>
        </w:rPr>
        <w:t>: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2.1. </w:t>
      </w:r>
      <w:r>
        <w:rPr>
          <w:sz w:val="28"/>
        </w:rPr>
        <w:t>На</w:t>
      </w:r>
      <w:r>
        <w:rPr>
          <w:sz w:val="28"/>
        </w:rPr>
        <w:t xml:space="preserve"> титульном листе Программы, приложении №1 к Программе слова «Заместитель главы администрации МО Сертолово по безопасности С.А. Белобоков» заменить словами «Начальник отдела административного обеспечения и информатизации администрации МО Сертолово 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Я.П. Юшкова»</w:t>
      </w:r>
    </w:p>
    <w:p w14:paraId="21000000">
      <w:pPr>
        <w:ind w:hanging="569" w:left="285"/>
        <w:jc w:val="both"/>
        <w:rPr>
          <w:sz w:val="28"/>
        </w:rPr>
      </w:pPr>
      <w:r>
        <w:rPr>
          <w:sz w:val="28"/>
        </w:rPr>
        <w:t xml:space="preserve">    2.2. </w:t>
      </w:r>
      <w:r>
        <w:rPr>
          <w:sz w:val="28"/>
        </w:rPr>
        <w:t>Паспорт Программы изложить в редакции согласно Приложения №1 к настоящему постановлению;</w:t>
      </w:r>
    </w:p>
    <w:p w14:paraId="22000000">
      <w:pPr>
        <w:ind w:hanging="427" w:left="285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2.</w:t>
      </w: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В содержательной части Программы: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2.3.1. Раздел 5 «Ожидаемые(конечные) результаты Программы» изложить в следующей редакции:</w:t>
      </w:r>
    </w:p>
    <w:p w14:paraId="24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>В ходе реализации Программы предполагается достичь следующих результатов:</w:t>
      </w:r>
    </w:p>
    <w:p w14:paraId="25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>- повышение интереса к предпринимательской деятельности;</w:t>
      </w:r>
    </w:p>
    <w:p w14:paraId="26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 xml:space="preserve">- повышение </w:t>
      </w:r>
      <w:r>
        <w:rPr>
          <w:sz w:val="28"/>
        </w:rPr>
        <w:t>правового</w:t>
      </w:r>
      <w:r>
        <w:rPr>
          <w:sz w:val="28"/>
        </w:rPr>
        <w:t xml:space="preserve"> </w:t>
      </w:r>
      <w:r>
        <w:rPr>
          <w:sz w:val="28"/>
        </w:rPr>
        <w:t>уровня знаний предпринимателей;</w:t>
      </w:r>
    </w:p>
    <w:p w14:paraId="27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>- повышение социальной ответственности малого и среднего предпринимательства.</w:t>
      </w:r>
    </w:p>
    <w:p w14:paraId="28000000">
      <w:pPr>
        <w:tabs>
          <w:tab w:leader="none" w:pos="255" w:val="left"/>
        </w:tabs>
        <w:ind/>
        <w:rPr>
          <w:sz w:val="28"/>
        </w:rPr>
      </w:pPr>
    </w:p>
    <w:p w14:paraId="29000000">
      <w:pPr>
        <w:tabs>
          <w:tab w:leader="none" w:pos="255" w:val="left"/>
        </w:tabs>
        <w:ind/>
        <w:rPr>
          <w:sz w:val="28"/>
        </w:rPr>
      </w:pPr>
      <w:r>
        <w:rPr>
          <w:sz w:val="28"/>
        </w:rPr>
        <w:t>Важнейшие целевые показатели программы:</w:t>
      </w:r>
    </w:p>
    <w:tbl>
      <w:tblPr>
        <w:tblStyle w:val="Style_4"/>
        <w:tblLayout w:type="fixed"/>
      </w:tblPr>
      <w:tblGrid>
        <w:gridCol w:w="732"/>
        <w:gridCol w:w="2726"/>
        <w:gridCol w:w="1073"/>
        <w:gridCol w:w="1134"/>
        <w:gridCol w:w="709"/>
        <w:gridCol w:w="709"/>
        <w:gridCol w:w="709"/>
        <w:gridCol w:w="850"/>
        <w:gridCol w:w="703"/>
      </w:tblGrid>
      <w:tr>
        <w:trPr>
          <w:trHeight w:hRule="atLeast" w:val="405"/>
        </w:trPr>
        <w:tc>
          <w:tcPr>
            <w:tcW w:type="dxa" w:w="732"/>
            <w:vMerge w:val="restart"/>
          </w:tcPr>
          <w:p w14:paraId="2A000000">
            <w:pPr>
              <w:tabs>
                <w:tab w:leader="none" w:pos="255" w:val="left"/>
              </w:tabs>
              <w:ind/>
            </w:pPr>
            <w:r>
              <w:t>№п/п</w:t>
            </w:r>
          </w:p>
        </w:tc>
        <w:tc>
          <w:tcPr>
            <w:tcW w:type="dxa" w:w="2726"/>
            <w:vMerge w:val="restart"/>
          </w:tcPr>
          <w:p w14:paraId="2B000000">
            <w:pPr>
              <w:tabs>
                <w:tab w:leader="none" w:pos="255" w:val="left"/>
              </w:tabs>
              <w:ind/>
            </w:pPr>
            <w:r>
              <w:t xml:space="preserve">Наименование </w:t>
            </w:r>
            <w:bookmarkStart w:id="2" w:name="_GoBack"/>
            <w:bookmarkEnd w:id="2"/>
            <w:r>
              <w:t>целевого показателя</w:t>
            </w:r>
          </w:p>
        </w:tc>
        <w:tc>
          <w:tcPr>
            <w:tcW w:type="dxa" w:w="1073"/>
          </w:tcPr>
          <w:p w14:paraId="2C000000">
            <w:pPr>
              <w:tabs>
                <w:tab w:leader="none" w:pos="255" w:val="left"/>
              </w:tabs>
              <w:ind/>
            </w:pPr>
            <w:r>
              <w:t>Ед. измерения</w:t>
            </w:r>
          </w:p>
        </w:tc>
        <w:tc>
          <w:tcPr>
            <w:tcW w:type="dxa" w:w="4814"/>
            <w:gridSpan w:val="6"/>
          </w:tcPr>
          <w:p w14:paraId="2D000000">
            <w:pPr>
              <w:tabs>
                <w:tab w:leader="none" w:pos="255" w:val="left"/>
              </w:tabs>
              <w:ind/>
            </w:pPr>
            <w:r>
              <w:t>Значение целевого показателя</w:t>
            </w:r>
          </w:p>
        </w:tc>
      </w:tr>
      <w:tr>
        <w:trPr>
          <w:trHeight w:hRule="atLeast" w:val="478"/>
        </w:trPr>
        <w:tc>
          <w:tcPr>
            <w:tcW w:type="dxa" w:w="732"/>
            <w:gridSpan w:val="1"/>
            <w:vMerge w:val="continue"/>
          </w:tcPr>
          <w:p/>
        </w:tc>
        <w:tc>
          <w:tcPr>
            <w:tcW w:type="dxa" w:w="2726"/>
            <w:gridSpan w:val="1"/>
            <w:vMerge w:val="continue"/>
          </w:tcPr>
          <w:p/>
        </w:tc>
        <w:tc>
          <w:tcPr>
            <w:tcW w:type="dxa" w:w="1073"/>
            <w:vMerge w:val="restart"/>
          </w:tcPr>
          <w:p w14:paraId="2E000000">
            <w:pPr>
              <w:tabs>
                <w:tab w:leader="none" w:pos="255" w:val="left"/>
              </w:tabs>
              <w:ind/>
            </w:pPr>
          </w:p>
        </w:tc>
        <w:tc>
          <w:tcPr>
            <w:tcW w:type="dxa" w:w="1134"/>
            <w:vMerge w:val="restart"/>
          </w:tcPr>
          <w:p w14:paraId="2F000000">
            <w:pPr>
              <w:tabs>
                <w:tab w:leader="none" w:pos="255" w:val="left"/>
              </w:tabs>
              <w:ind/>
            </w:pPr>
            <w:r>
              <w:t>В результате реализации программы</w:t>
            </w:r>
          </w:p>
        </w:tc>
        <w:tc>
          <w:tcPr>
            <w:tcW w:type="dxa" w:w="3680"/>
            <w:gridSpan w:val="5"/>
          </w:tcPr>
          <w:p w14:paraId="30000000">
            <w:pPr>
              <w:tabs>
                <w:tab w:leader="none" w:pos="255" w:val="left"/>
              </w:tabs>
              <w:ind/>
            </w:pPr>
            <w:r>
              <w:t>В том числе по годам:</w:t>
            </w:r>
          </w:p>
        </w:tc>
      </w:tr>
      <w:tr>
        <w:trPr>
          <w:trHeight w:hRule="atLeast" w:val="795"/>
        </w:trPr>
        <w:tc>
          <w:tcPr>
            <w:tcW w:type="dxa" w:w="732"/>
            <w:gridSpan w:val="1"/>
            <w:vMerge w:val="continue"/>
          </w:tcPr>
          <w:p/>
        </w:tc>
        <w:tc>
          <w:tcPr>
            <w:tcW w:type="dxa" w:w="2726"/>
            <w:gridSpan w:val="1"/>
            <w:vMerge w:val="continue"/>
          </w:tcPr>
          <w:p/>
        </w:tc>
        <w:tc>
          <w:tcPr>
            <w:tcW w:type="dxa" w:w="1073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709"/>
          </w:tcPr>
          <w:p w14:paraId="31000000">
            <w:pPr>
              <w:tabs>
                <w:tab w:leader="none" w:pos="255" w:val="left"/>
              </w:tabs>
              <w:ind/>
            </w:pPr>
            <w:r>
              <w:t>2020</w:t>
            </w:r>
          </w:p>
        </w:tc>
        <w:tc>
          <w:tcPr>
            <w:tcW w:type="dxa" w:w="709"/>
          </w:tcPr>
          <w:p w14:paraId="32000000">
            <w:pPr>
              <w:tabs>
                <w:tab w:leader="none" w:pos="255" w:val="left"/>
              </w:tabs>
              <w:ind/>
            </w:pPr>
            <w:r>
              <w:t>2021</w:t>
            </w:r>
          </w:p>
        </w:tc>
        <w:tc>
          <w:tcPr>
            <w:tcW w:type="dxa" w:w="709"/>
          </w:tcPr>
          <w:p w14:paraId="33000000">
            <w:pPr>
              <w:tabs>
                <w:tab w:leader="none" w:pos="255" w:val="left"/>
              </w:tabs>
              <w:ind/>
            </w:pPr>
            <w:r>
              <w:t>2022</w:t>
            </w:r>
          </w:p>
        </w:tc>
        <w:tc>
          <w:tcPr>
            <w:tcW w:type="dxa" w:w="850"/>
          </w:tcPr>
          <w:p w14:paraId="34000000">
            <w:pPr>
              <w:tabs>
                <w:tab w:leader="none" w:pos="255" w:val="left"/>
              </w:tabs>
              <w:ind/>
            </w:pPr>
            <w:r>
              <w:t>2023</w:t>
            </w:r>
          </w:p>
        </w:tc>
        <w:tc>
          <w:tcPr>
            <w:tcW w:type="dxa" w:w="703"/>
          </w:tcPr>
          <w:p w14:paraId="35000000">
            <w:pPr>
              <w:tabs>
                <w:tab w:leader="none" w:pos="255" w:val="left"/>
              </w:tabs>
              <w:ind/>
            </w:pPr>
            <w:r>
              <w:t>2024</w:t>
            </w:r>
          </w:p>
        </w:tc>
      </w:tr>
      <w:tr>
        <w:tc>
          <w:tcPr>
            <w:tcW w:type="dxa" w:w="732"/>
          </w:tcPr>
          <w:p w14:paraId="36000000">
            <w:pPr>
              <w:tabs>
                <w:tab w:leader="none" w:pos="255" w:val="left"/>
              </w:tabs>
              <w:ind/>
            </w:pPr>
            <w:r>
              <w:t>1</w:t>
            </w:r>
          </w:p>
        </w:tc>
        <w:tc>
          <w:tcPr>
            <w:tcW w:type="dxa" w:w="2726"/>
          </w:tcPr>
          <w:p w14:paraId="37000000">
            <w:pPr>
              <w:tabs>
                <w:tab w:leader="none" w:pos="255" w:val="left"/>
              </w:tabs>
              <w:ind/>
            </w:pPr>
            <w:r>
              <w:t>Увеличение количества участников в конкурсах, ярмарках и т.п. разного уровня (прирост по отношению к предыдущему году)</w:t>
            </w:r>
          </w:p>
        </w:tc>
        <w:tc>
          <w:tcPr>
            <w:tcW w:type="dxa" w:w="1073"/>
          </w:tcPr>
          <w:p w14:paraId="38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</w:tcPr>
          <w:p w14:paraId="39000000">
            <w:pPr>
              <w:tabs>
                <w:tab w:leader="none" w:pos="255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709"/>
          </w:tcPr>
          <w:p w14:paraId="3A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</w:tcPr>
          <w:p w14:paraId="3B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</w:tcPr>
          <w:p w14:paraId="3C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850"/>
          </w:tcPr>
          <w:p w14:paraId="3D000000">
            <w:pPr>
              <w:tabs>
                <w:tab w:leader="none" w:pos="255" w:val="left"/>
              </w:tabs>
              <w:ind/>
            </w:pPr>
            <w:r>
              <w:t>-10%</w:t>
            </w:r>
          </w:p>
        </w:tc>
        <w:tc>
          <w:tcPr>
            <w:tcW w:type="dxa" w:w="703"/>
          </w:tcPr>
          <w:p w14:paraId="3E000000">
            <w:pPr>
              <w:tabs>
                <w:tab w:leader="none" w:pos="255" w:val="left"/>
              </w:tabs>
              <w:ind/>
            </w:pPr>
            <w:r>
              <w:t>22%</w:t>
            </w:r>
          </w:p>
        </w:tc>
      </w:tr>
      <w:tr>
        <w:tc>
          <w:tcPr>
            <w:tcW w:type="dxa" w:w="732"/>
          </w:tcPr>
          <w:p w14:paraId="3F000000">
            <w:pPr>
              <w:tabs>
                <w:tab w:leader="none" w:pos="255" w:val="left"/>
              </w:tabs>
              <w:ind/>
            </w:pPr>
            <w:r>
              <w:t>2</w:t>
            </w:r>
          </w:p>
        </w:tc>
        <w:tc>
          <w:tcPr>
            <w:tcW w:type="dxa" w:w="2726"/>
          </w:tcPr>
          <w:p w14:paraId="40000000">
            <w:pPr>
              <w:tabs>
                <w:tab w:leader="none" w:pos="255" w:val="left"/>
              </w:tabs>
              <w:ind/>
            </w:pPr>
            <w:r>
              <w:t>Увеличение количества субъектов малого и среднего предпринимательства, получивших консультацию (прирост к предыдущему году)</w:t>
            </w:r>
          </w:p>
        </w:tc>
        <w:tc>
          <w:tcPr>
            <w:tcW w:type="dxa" w:w="1073"/>
          </w:tcPr>
          <w:p w14:paraId="41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</w:tcPr>
          <w:p w14:paraId="42000000">
            <w:pPr>
              <w:tabs>
                <w:tab w:leader="none" w:pos="255" w:val="left"/>
              </w:tabs>
              <w:ind/>
              <w:jc w:val="center"/>
            </w:pPr>
            <w:r>
              <w:t>17</w:t>
            </w:r>
          </w:p>
        </w:tc>
        <w:tc>
          <w:tcPr>
            <w:tcW w:type="dxa" w:w="709"/>
          </w:tcPr>
          <w:p w14:paraId="43000000">
            <w:pPr>
              <w:tabs>
                <w:tab w:leader="none" w:pos="255" w:val="left"/>
              </w:tabs>
              <w:ind/>
            </w:pPr>
            <w:r>
              <w:t>3,4</w:t>
            </w:r>
          </w:p>
        </w:tc>
        <w:tc>
          <w:tcPr>
            <w:tcW w:type="dxa" w:w="709"/>
          </w:tcPr>
          <w:p w14:paraId="44000000">
            <w:pPr>
              <w:tabs>
                <w:tab w:leader="none" w:pos="255" w:val="left"/>
              </w:tabs>
              <w:ind/>
            </w:pPr>
            <w:r>
              <w:t>3,3</w:t>
            </w:r>
          </w:p>
        </w:tc>
        <w:tc>
          <w:tcPr>
            <w:tcW w:type="dxa" w:w="709"/>
          </w:tcPr>
          <w:p w14:paraId="45000000">
            <w:pPr>
              <w:tabs>
                <w:tab w:leader="none" w:pos="255" w:val="left"/>
              </w:tabs>
              <w:ind/>
            </w:pPr>
            <w:r>
              <w:t>3,2</w:t>
            </w:r>
          </w:p>
        </w:tc>
        <w:tc>
          <w:tcPr>
            <w:tcW w:type="dxa" w:w="850"/>
          </w:tcPr>
          <w:p w14:paraId="46000000">
            <w:pPr>
              <w:tabs>
                <w:tab w:leader="none" w:pos="255" w:val="left"/>
              </w:tabs>
              <w:ind/>
            </w:pPr>
            <w:r>
              <w:t>3,1</w:t>
            </w:r>
          </w:p>
        </w:tc>
        <w:tc>
          <w:tcPr>
            <w:tcW w:type="dxa" w:w="703"/>
          </w:tcPr>
          <w:p w14:paraId="47000000">
            <w:pPr>
              <w:tabs>
                <w:tab w:leader="none" w:pos="255" w:val="left"/>
              </w:tabs>
              <w:ind/>
            </w:pPr>
            <w:r>
              <w:t>2,9</w:t>
            </w:r>
          </w:p>
        </w:tc>
      </w:tr>
    </w:tbl>
    <w:p w14:paraId="48000000">
      <w:pPr>
        <w:tabs>
          <w:tab w:leader="none" w:pos="255" w:val="left"/>
        </w:tabs>
        <w:ind/>
        <w:rPr>
          <w:sz w:val="28"/>
        </w:rPr>
      </w:pP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ind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sz w:val="28"/>
        </w:rPr>
        <w:t xml:space="preserve">Приложение №1 к Программе «Перечень планируемых результатов реализации муниципальной программы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b w:val="0"/>
          <w:sz w:val="28"/>
        </w:rPr>
        <w:t xml:space="preserve"> МО Сертолово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 изложить </w:t>
      </w:r>
      <w:r>
        <w:rPr>
          <w:rFonts w:ascii="Times New Roman" w:hAnsi="Times New Roman"/>
          <w:b w:val="0"/>
          <w:sz w:val="28"/>
          <w:u w:val="none"/>
        </w:rPr>
        <w:t>согласно Приложению №2 к настоящему постановлению.</w:t>
      </w:r>
    </w:p>
    <w:p w14:paraId="4B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Настоящее постановление вступает в силу после официального опубликования (обнародования) на официальном сайте администрации     МО Сертолово в информационно - телекоммуникационной сети «Интернет».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color w:val="191919"/>
          <w:sz w:val="28"/>
        </w:rPr>
        <w:t>Контроль за исполнением настоящего постановления оставляю за собой</w:t>
      </w:r>
    </w:p>
    <w:p w14:paraId="4D000000">
      <w:pPr>
        <w:ind/>
        <w:jc w:val="both"/>
        <w:rPr>
          <w:sz w:val="28"/>
        </w:rPr>
      </w:pPr>
    </w:p>
    <w:p w14:paraId="4E000000">
      <w:pPr>
        <w:ind w:firstLine="709" w:left="0"/>
        <w:jc w:val="both"/>
      </w:pPr>
    </w:p>
    <w:p w14:paraId="4F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8"/>
        </w:rPr>
        <w:t xml:space="preserve">  В.В. Василенко</w:t>
      </w:r>
    </w:p>
    <w:p w14:paraId="50000000">
      <w:pPr>
        <w:ind/>
        <w:jc w:val="both"/>
      </w:pPr>
    </w:p>
    <w:p w14:paraId="51000000">
      <w:pPr>
        <w:ind/>
        <w:jc w:val="both"/>
      </w:pPr>
    </w:p>
    <w:p w14:paraId="52000000">
      <w:pPr>
        <w:ind/>
        <w:jc w:val="both"/>
      </w:pPr>
    </w:p>
    <w:p w14:paraId="53000000">
      <w:pPr>
        <w:ind/>
        <w:jc w:val="both"/>
      </w:pPr>
    </w:p>
    <w:p w14:paraId="54000000">
      <w:pPr>
        <w:ind/>
        <w:jc w:val="both"/>
      </w:pP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/>
        <w:jc w:val="both"/>
      </w:pPr>
    </w:p>
    <w:p w14:paraId="58000000">
      <w:pPr>
        <w:ind/>
        <w:jc w:val="both"/>
      </w:pPr>
    </w:p>
    <w:p w14:paraId="59000000">
      <w:pPr>
        <w:ind/>
        <w:jc w:val="both"/>
      </w:pPr>
    </w:p>
    <w:p w14:paraId="5A000000">
      <w:pPr>
        <w:ind/>
        <w:jc w:val="both"/>
      </w:pPr>
    </w:p>
    <w:p w14:paraId="5B000000">
      <w:pPr>
        <w:ind/>
        <w:jc w:val="both"/>
      </w:pPr>
    </w:p>
    <w:p w14:paraId="5C000000">
      <w:pPr>
        <w:ind/>
        <w:jc w:val="both"/>
      </w:pPr>
    </w:p>
    <w:p w14:paraId="5D000000">
      <w:pPr>
        <w:ind/>
        <w:jc w:val="both"/>
      </w:pPr>
    </w:p>
    <w:p w14:paraId="5E000000"/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146"/>
      </w:pPr>
    </w:lvl>
    <w:lvl w:ilvl="1">
      <w:start w:val="1"/>
      <w:numFmt w:val="lowerLetter"/>
      <w:lvlText w:val="%2."/>
      <w:lvlJc w:val="left"/>
      <w:pPr>
        <w:ind w:hanging="360" w:left="1866"/>
      </w:pPr>
    </w:lvl>
    <w:lvl w:ilvl="2">
      <w:start w:val="1"/>
      <w:numFmt w:val="lowerRoman"/>
      <w:lvlText w:val="%3."/>
      <w:lvlJc w:val="right"/>
      <w:pPr>
        <w:ind w:hanging="180" w:left="2586"/>
      </w:pPr>
    </w:lvl>
    <w:lvl w:ilvl="3">
      <w:start w:val="1"/>
      <w:numFmt w:val="decimal"/>
      <w:lvlText w:val="%4."/>
      <w:lvlJc w:val="left"/>
      <w:pPr>
        <w:ind w:hanging="360" w:left="3306"/>
      </w:pPr>
    </w:lvl>
    <w:lvl w:ilvl="4">
      <w:start w:val="1"/>
      <w:numFmt w:val="lowerLetter"/>
      <w:lvlText w:val="%5."/>
      <w:lvlJc w:val="left"/>
      <w:pPr>
        <w:ind w:hanging="360" w:left="4026"/>
      </w:pPr>
    </w:lvl>
    <w:lvl w:ilvl="5">
      <w:start w:val="1"/>
      <w:numFmt w:val="lowerRoman"/>
      <w:lvlText w:val="%6."/>
      <w:lvlJc w:val="right"/>
      <w:pPr>
        <w:ind w:hanging="180" w:left="4746"/>
      </w:pPr>
    </w:lvl>
    <w:lvl w:ilvl="6">
      <w:start w:val="1"/>
      <w:numFmt w:val="decimal"/>
      <w:lvlText w:val="%7."/>
      <w:lvlJc w:val="left"/>
      <w:pPr>
        <w:ind w:hanging="360" w:left="5466"/>
      </w:pPr>
    </w:lvl>
    <w:lvl w:ilvl="7">
      <w:start w:val="1"/>
      <w:numFmt w:val="lowerLetter"/>
      <w:lvlText w:val="%8."/>
      <w:lvlJc w:val="left"/>
      <w:pPr>
        <w:ind w:hanging="360" w:left="6186"/>
      </w:pPr>
    </w:lvl>
    <w:lvl w:ilvl="8">
      <w:start w:val="1"/>
      <w:numFmt w:val="lowerRoman"/>
      <w:lvlText w:val="%9."/>
      <w:lvlJc w:val="right"/>
      <w:pPr>
        <w:ind w:hanging="180" w:left="690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decimal"/>
      <w:lvlText w:val="%1.%2."/>
      <w:lvlJc w:val="left"/>
      <w:pPr>
        <w:ind w:hanging="720" w:left="1146"/>
      </w:pPr>
    </w:lvl>
    <w:lvl w:ilvl="2">
      <w:start w:val="1"/>
      <w:numFmt w:val="decimal"/>
      <w:lvlText w:val="%1.%2.%3."/>
      <w:lvlJc w:val="left"/>
      <w:pPr>
        <w:ind w:hanging="720" w:left="1146"/>
      </w:pPr>
    </w:lvl>
    <w:lvl w:ilvl="3">
      <w:start w:val="1"/>
      <w:numFmt w:val="decimal"/>
      <w:lvlText w:val="%1.%2.%3.%4."/>
      <w:lvlJc w:val="left"/>
      <w:pPr>
        <w:ind w:hanging="1080" w:left="1506"/>
      </w:pPr>
    </w:lvl>
    <w:lvl w:ilvl="4">
      <w:start w:val="1"/>
      <w:numFmt w:val="decimal"/>
      <w:lvlText w:val="%1.%2.%3.%4.%5."/>
      <w:lvlJc w:val="left"/>
      <w:pPr>
        <w:ind w:hanging="1080" w:left="1506"/>
      </w:pPr>
    </w:lvl>
    <w:lvl w:ilvl="5">
      <w:start w:val="1"/>
      <w:numFmt w:val="decimal"/>
      <w:lvlText w:val="%1.%2.%3.%4.%5.%6."/>
      <w:lvlJc w:val="left"/>
      <w:pPr>
        <w:ind w:hanging="1440" w:left="1866"/>
      </w:pPr>
    </w:lvl>
    <w:lvl w:ilvl="6">
      <w:start w:val="1"/>
      <w:numFmt w:val="decimal"/>
      <w:lvlText w:val="%1.%2.%3.%4.%5.%6.%7."/>
      <w:lvlJc w:val="left"/>
      <w:pPr>
        <w:ind w:hanging="1800" w:left="2226"/>
      </w:pPr>
    </w:lvl>
    <w:lvl w:ilvl="7">
      <w:start w:val="1"/>
      <w:numFmt w:val="decimal"/>
      <w:lvlText w:val="%1.%2.%3.%4.%5.%6.%7.%8."/>
      <w:lvlJc w:val="left"/>
      <w:pPr>
        <w:ind w:hanging="1800" w:left="2226"/>
      </w:pPr>
    </w:lvl>
    <w:lvl w:ilvl="8">
      <w:start w:val="1"/>
      <w:numFmt w:val="decimal"/>
      <w:lvlText w:val="%1.%2.%3.%4.%5.%6.%7.%8.%9."/>
      <w:lvlJc w:val="left"/>
      <w:pPr>
        <w:ind w:hanging="2160" w:left="258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Preformat"/>
    <w:link w:val="Style_2_ch"/>
    <w:pPr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Preformat"/>
    <w:link w:val="Style_2"/>
    <w:rPr>
      <w:rFonts w:ascii="Courier New" w:hAnsi="Courier New"/>
      <w:sz w:val="20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2024-12-19T11:45:54Z</dcterms:modified>
</cp:coreProperties>
</file>